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大厂回族自治县供销合作社</w:t>
      </w:r>
    </w:p>
    <w:p>
      <w:pPr>
        <w:ind w:firstLine="880" w:firstLineChars="200"/>
        <w:jc w:val="center"/>
        <w:rPr>
          <w:rFonts w:ascii="方正小标宋简体" w:hAnsi="Times New Roman" w:eastAsia="方正小标宋简体" w:cs="Times New Roman"/>
          <w:sz w:val="44"/>
          <w:szCs w:val="44"/>
        </w:rPr>
      </w:pPr>
      <w:r>
        <w:rPr>
          <w:rFonts w:ascii="方正小标宋简体" w:hAnsi="Times New Roman" w:eastAsia="方正小标宋简体" w:cs="方正小标宋简体"/>
          <w:sz w:val="44"/>
          <w:szCs w:val="44"/>
        </w:rPr>
        <w:t>201</w:t>
      </w:r>
      <w:r>
        <w:rPr>
          <w:rFonts w:hint="eastAsia" w:ascii="方正小标宋简体" w:hAnsi="Times New Roman" w:eastAsia="方正小标宋简体" w:cs="方正小标宋简体"/>
          <w:sz w:val="44"/>
          <w:szCs w:val="44"/>
          <w:lang w:val="en-US" w:eastAsia="zh-CN"/>
        </w:rPr>
        <w:t>9</w:t>
      </w:r>
      <w:r>
        <w:rPr>
          <w:rFonts w:hint="eastAsia" w:ascii="方正小标宋简体" w:hAnsi="Times New Roman" w:eastAsia="方正小标宋简体" w:cs="方正小标宋简体"/>
          <w:sz w:val="44"/>
          <w:szCs w:val="44"/>
        </w:rPr>
        <w:t>年部门预算信息公开</w:t>
      </w:r>
    </w:p>
    <w:p>
      <w:pPr>
        <w:ind w:firstLine="880" w:firstLineChars="200"/>
        <w:jc w:val="center"/>
        <w:rPr>
          <w:rFonts w:ascii="Times New Roman" w:hAnsi="Times New Roman" w:eastAsia="方正小标宋_GBK" w:cs="Times New Roman"/>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中华人民共和国</w:t>
      </w:r>
      <w:bookmarkStart w:id="2" w:name="_GoBack"/>
      <w:bookmarkEnd w:id="2"/>
      <w:r>
        <w:rPr>
          <w:rFonts w:hint="eastAsia" w:ascii="仿宋" w:hAnsi="仿宋" w:eastAsia="仿宋" w:cs="仿宋"/>
          <w:sz w:val="32"/>
          <w:szCs w:val="32"/>
        </w:rPr>
        <w:t>预算法》、《地方预决算公开操作规程》和《河北省省级预算公开办法》规定，现将大厂回族自治县供销合作社</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、贯彻县委、县政府和市供销社有关农村工作和社会发展的方针、政策，制定全县供销社发展战略和规划，指导全县供销社改革和发展。</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、按照供销合作社章程赋予的合法权益，负责协调与政府各部门和社会组织的关系，促进合作经济的发展。</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、承担全县重要防汛救灾物资的储备工作。</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、根据《河北省食盐加碘消除碘缺乏危害监督管理条例》和有关规定，按照县政府授权，具体负责全县流通领域盐业行政执法管理，食盐批发和零售市场的监督检查，做好全县食盐专营工作。</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、负责指导全县供销社的业务活动，参与、推动和服务农业产业化经营，发展龙头企业、专业合作社和消费合作社，加快农业社会化服务体系和农产品市场体系建设、开拓城乡市场。</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、指导系统实施“科教兴社”战略，指导系统技术创新和技术推广，组织开展对社员和职工教育与培训，为全县供销社提供科技服务和信息服务。</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、负责全县供销社所属企业改革，建立现代企业制度，指导系统党风廉政建设。</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、承办县委、县政府和市供销社交办的其他事项。</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ind w:firstLine="20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6"/>
        <w:tblW w:w="12288"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88"/>
        <w:gridCol w:w="1785"/>
        <w:gridCol w:w="1785"/>
        <w:gridCol w:w="2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单位名称</w:t>
            </w:r>
          </w:p>
        </w:tc>
        <w:tc>
          <w:tcPr>
            <w:tcW w:w="1785"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单位性质</w:t>
            </w:r>
          </w:p>
        </w:tc>
        <w:tc>
          <w:tcPr>
            <w:tcW w:w="1785"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单位规格</w:t>
            </w:r>
          </w:p>
        </w:tc>
        <w:tc>
          <w:tcPr>
            <w:tcW w:w="273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continue"/>
            <w:vAlign w:val="center"/>
          </w:tcPr>
          <w:p>
            <w:pPr>
              <w:spacing w:line="300" w:lineRule="exact"/>
              <w:ind w:firstLine="200"/>
              <w:jc w:val="left"/>
              <w:outlineLvl w:val="0"/>
              <w:rPr>
                <w:rFonts w:ascii="仿宋" w:hAnsi="仿宋" w:eastAsia="仿宋" w:cs="Times New Roman"/>
                <w:sz w:val="32"/>
                <w:szCs w:val="32"/>
              </w:rPr>
            </w:pPr>
          </w:p>
        </w:tc>
        <w:tc>
          <w:tcPr>
            <w:tcW w:w="1785" w:type="dxa"/>
            <w:vMerge w:val="continue"/>
            <w:vAlign w:val="center"/>
          </w:tcPr>
          <w:p>
            <w:pPr>
              <w:spacing w:line="300" w:lineRule="exact"/>
              <w:ind w:firstLine="200"/>
              <w:jc w:val="left"/>
              <w:outlineLvl w:val="0"/>
              <w:rPr>
                <w:rFonts w:ascii="仿宋" w:hAnsi="仿宋" w:eastAsia="仿宋" w:cs="Times New Roman"/>
                <w:sz w:val="32"/>
                <w:szCs w:val="32"/>
              </w:rPr>
            </w:pPr>
          </w:p>
        </w:tc>
        <w:tc>
          <w:tcPr>
            <w:tcW w:w="1785" w:type="dxa"/>
            <w:vMerge w:val="continue"/>
            <w:vAlign w:val="center"/>
          </w:tcPr>
          <w:p>
            <w:pPr>
              <w:spacing w:line="300" w:lineRule="exact"/>
              <w:ind w:firstLine="200"/>
              <w:jc w:val="left"/>
              <w:outlineLvl w:val="0"/>
              <w:rPr>
                <w:rFonts w:ascii="仿宋" w:hAnsi="仿宋" w:eastAsia="仿宋" w:cs="Times New Roman"/>
                <w:sz w:val="32"/>
                <w:szCs w:val="32"/>
              </w:rPr>
            </w:pPr>
          </w:p>
        </w:tc>
        <w:tc>
          <w:tcPr>
            <w:tcW w:w="2730" w:type="dxa"/>
            <w:vMerge w:val="continue"/>
            <w:vAlign w:val="center"/>
          </w:tcPr>
          <w:p>
            <w:pPr>
              <w:spacing w:line="300" w:lineRule="exact"/>
              <w:ind w:firstLine="200"/>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trPr>
        <w:tc>
          <w:tcPr>
            <w:tcW w:w="5988"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大厂回族自治县供销合作社</w:t>
            </w:r>
          </w:p>
        </w:tc>
        <w:tc>
          <w:tcPr>
            <w:tcW w:w="1785"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行政</w:t>
            </w:r>
          </w:p>
        </w:tc>
        <w:tc>
          <w:tcPr>
            <w:tcW w:w="1785"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正科级</w:t>
            </w:r>
          </w:p>
        </w:tc>
        <w:tc>
          <w:tcPr>
            <w:tcW w:w="2730"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财政拨款</w:t>
            </w:r>
          </w:p>
        </w:tc>
      </w:tr>
    </w:tbl>
    <w:p>
      <w:pPr>
        <w:ind w:firstLine="420" w:firstLineChars="200"/>
        <w:rPr>
          <w:rFonts w:cs="Times New Roman"/>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60" w:lineRule="exact"/>
        <w:ind w:firstLine="643" w:firstLineChars="20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259.27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259.27</w:t>
      </w:r>
      <w:r>
        <w:rPr>
          <w:rFonts w:hint="eastAsia" w:ascii="仿宋" w:hAnsi="仿宋" w:eastAsia="仿宋" w:cs="仿宋"/>
          <w:sz w:val="32"/>
          <w:szCs w:val="32"/>
        </w:rPr>
        <w:t>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60" w:lineRule="exact"/>
        <w:ind w:firstLine="643" w:firstLineChars="200"/>
        <w:rPr>
          <w:rFonts w:ascii="Times New Roman" w:hAnsi="Times New Roman" w:eastAsia="方正仿宋_GBK" w:cs="Times New Roman"/>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收支预算总表支出栏、基本支出表、项目支出表按经济分类和支出功能分类科目编制，反映大厂回族自治县供销合作社</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年度部门预算中支出预算的总体情况。</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259.27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259.27</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234.67万元</w:t>
      </w:r>
      <w:r>
        <w:rPr>
          <w:rFonts w:hint="eastAsia" w:ascii="仿宋" w:hAnsi="仿宋" w:eastAsia="仿宋" w:cs="仿宋"/>
          <w:sz w:val="32"/>
          <w:szCs w:val="32"/>
        </w:rPr>
        <w:t>和日常公用经费</w:t>
      </w:r>
      <w:r>
        <w:rPr>
          <w:rFonts w:hint="eastAsia" w:ascii="仿宋" w:hAnsi="仿宋" w:eastAsia="仿宋" w:cs="仿宋"/>
          <w:sz w:val="32"/>
          <w:szCs w:val="32"/>
          <w:lang w:val="en-US" w:eastAsia="zh-CN"/>
        </w:rPr>
        <w:t>24.60万元，</w:t>
      </w:r>
      <w:r>
        <w:rPr>
          <w:rFonts w:hint="eastAsia" w:ascii="仿宋" w:hAnsi="仿宋" w:eastAsia="仿宋" w:cs="仿宋"/>
          <w:sz w:val="32"/>
          <w:szCs w:val="32"/>
        </w:rPr>
        <w:t>无项目支出，均为本级支出。</w:t>
      </w:r>
    </w:p>
    <w:p>
      <w:pPr>
        <w:spacing w:line="560" w:lineRule="exact"/>
        <w:ind w:firstLine="643" w:firstLineChars="20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259.27</w:t>
      </w:r>
      <w:r>
        <w:rPr>
          <w:rFonts w:hint="eastAsia" w:ascii="仿宋" w:hAnsi="仿宋" w:eastAsia="仿宋" w:cs="仿宋"/>
          <w:sz w:val="32"/>
          <w:szCs w:val="32"/>
        </w:rPr>
        <w:t>万元，较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16.81</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16.81</w:t>
      </w:r>
      <w:r>
        <w:rPr>
          <w:rFonts w:hint="eastAsia" w:ascii="仿宋" w:hAnsi="仿宋" w:eastAsia="仿宋" w:cs="仿宋"/>
          <w:sz w:val="32"/>
          <w:szCs w:val="32"/>
        </w:rPr>
        <w:t>万元，主要为</w:t>
      </w:r>
      <w:r>
        <w:rPr>
          <w:rFonts w:hint="eastAsia" w:ascii="仿宋" w:hAnsi="仿宋" w:eastAsia="仿宋" w:cs="仿宋"/>
          <w:sz w:val="32"/>
          <w:szCs w:val="32"/>
          <w:lang w:eastAsia="zh-CN"/>
        </w:rPr>
        <w:t>在职人员正常调资支出</w:t>
      </w:r>
      <w:r>
        <w:rPr>
          <w:rFonts w:hint="eastAsia" w:ascii="仿宋" w:hAnsi="仿宋" w:eastAsia="仿宋" w:cs="仿宋"/>
          <w:sz w:val="32"/>
          <w:szCs w:val="32"/>
        </w:rPr>
        <w:t>。</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2019年，</w:t>
      </w: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24.60</w:t>
      </w:r>
      <w:r>
        <w:rPr>
          <w:rFonts w:hint="eastAsia" w:ascii="仿宋" w:hAnsi="仿宋" w:eastAsia="仿宋" w:cs="仿宋"/>
          <w:sz w:val="32"/>
          <w:szCs w:val="32"/>
        </w:rPr>
        <w:t>万元，主要用于办公区的日常维修、办公用房水电费、办公用房取暖费、办公用房物业管理费等日常运行支出。</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年，我部门</w:t>
      </w:r>
      <w:r>
        <w:rPr>
          <w:rFonts w:hint="eastAsia" w:ascii="仿宋" w:hAnsi="仿宋" w:eastAsia="仿宋" w:cs="仿宋"/>
          <w:sz w:val="32"/>
          <w:szCs w:val="32"/>
          <w:lang w:eastAsia="zh-CN"/>
        </w:rPr>
        <w:t>财政拨款</w:t>
      </w:r>
      <w:r>
        <w:rPr>
          <w:rFonts w:hint="eastAsia" w:ascii="仿宋" w:hAnsi="仿宋" w:eastAsia="仿宋" w:cs="仿宋"/>
          <w:sz w:val="32"/>
          <w:szCs w:val="32"/>
        </w:rPr>
        <w:t>“三公”经费预算安排</w:t>
      </w:r>
      <w:r>
        <w:rPr>
          <w:rFonts w:hint="eastAsia" w:ascii="仿宋" w:hAnsi="仿宋" w:eastAsia="仿宋" w:cs="仿宋"/>
          <w:sz w:val="32"/>
          <w:szCs w:val="32"/>
          <w:lang w:val="en-US" w:eastAsia="zh-CN"/>
        </w:rPr>
        <w:t>2.41</w:t>
      </w:r>
      <w:r>
        <w:rPr>
          <w:rFonts w:hint="eastAsia" w:ascii="仿宋" w:hAnsi="仿宋" w:eastAsia="仿宋" w:cs="仿宋"/>
          <w:sz w:val="32"/>
          <w:szCs w:val="32"/>
        </w:rPr>
        <w:t>万元，其中</w:t>
      </w:r>
      <w:r>
        <w:rPr>
          <w:rFonts w:hint="eastAsia" w:ascii="仿宋" w:hAnsi="仿宋" w:eastAsia="仿宋" w:cs="仿宋"/>
          <w:sz w:val="32"/>
          <w:szCs w:val="32"/>
          <w:lang w:eastAsia="zh-CN"/>
        </w:rPr>
        <w:t>，</w:t>
      </w:r>
      <w:r>
        <w:rPr>
          <w:rFonts w:hint="eastAsia" w:ascii="仿宋" w:hAnsi="仿宋" w:eastAsia="仿宋" w:cs="仿宋"/>
          <w:sz w:val="32"/>
          <w:szCs w:val="32"/>
        </w:rPr>
        <w:t>因公出国（境）费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公务用车购置及运维费</w:t>
      </w:r>
      <w:r>
        <w:rPr>
          <w:rFonts w:ascii="仿宋" w:hAnsi="仿宋" w:eastAsia="仿宋" w:cs="仿宋"/>
          <w:sz w:val="32"/>
          <w:szCs w:val="32"/>
        </w:rPr>
        <w:t>2.3</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2.3</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0.11</w:t>
      </w:r>
      <w:r>
        <w:rPr>
          <w:rFonts w:hint="eastAsia" w:ascii="仿宋" w:hAnsi="仿宋" w:eastAsia="仿宋" w:cs="仿宋"/>
          <w:sz w:val="32"/>
          <w:szCs w:val="32"/>
        </w:rPr>
        <w:t>万元。因公出国（境）费与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w:t>
      </w:r>
      <w:r>
        <w:rPr>
          <w:rFonts w:hint="eastAsia" w:ascii="仿宋" w:hAnsi="仿宋" w:eastAsia="仿宋" w:cs="仿宋"/>
          <w:sz w:val="32"/>
          <w:szCs w:val="32"/>
          <w:lang w:eastAsia="zh-CN"/>
        </w:rPr>
        <w:t>相</w:t>
      </w:r>
      <w:r>
        <w:rPr>
          <w:rFonts w:hint="eastAsia" w:ascii="仿宋" w:hAnsi="仿宋" w:eastAsia="仿宋" w:cs="仿宋"/>
          <w:sz w:val="32"/>
          <w:szCs w:val="32"/>
        </w:rPr>
        <w:t>比持平，无增减变化；公务用车购置及运维费与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w:t>
      </w:r>
      <w:r>
        <w:rPr>
          <w:rFonts w:hint="eastAsia" w:ascii="仿宋" w:hAnsi="仿宋" w:eastAsia="仿宋" w:cs="仿宋"/>
          <w:sz w:val="32"/>
          <w:szCs w:val="32"/>
          <w:lang w:eastAsia="zh-CN"/>
        </w:rPr>
        <w:t>相</w:t>
      </w:r>
      <w:r>
        <w:rPr>
          <w:rFonts w:hint="eastAsia" w:ascii="仿宋" w:hAnsi="仿宋" w:eastAsia="仿宋" w:cs="仿宋"/>
          <w:sz w:val="32"/>
          <w:szCs w:val="32"/>
        </w:rPr>
        <w:t>比持平，无增减变化；公务接待费与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年相比持平，无增减变化。</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总体绩效目标：</w:t>
      </w:r>
    </w:p>
    <w:p>
      <w:pPr>
        <w:ind w:firstLine="640" w:firstLineChars="20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大厂回族自治县供销合作社，以绩效目标实现为导向，进一步加强制度建设，提升自评质量，预算绩效管理取得新成效。一是抓好绩效目标编制，及时报送绩效目标。二是探索绩效跟踪监控，要求加强过程监控。三是健全绩效管理工作机制，明确职责分工，努力提高了绩效管理工作水平。</w:t>
      </w:r>
    </w:p>
    <w:p>
      <w:pPr>
        <w:ind w:firstLine="643" w:firstLineChars="200"/>
        <w:jc w:val="left"/>
        <w:rPr>
          <w:rFonts w:ascii="楷体" w:hAnsi="楷体" w:eastAsia="楷体" w:cs="Times New Roman"/>
          <w:b/>
          <w:bCs/>
          <w:sz w:val="32"/>
          <w:szCs w:val="32"/>
        </w:rPr>
      </w:pPr>
      <w:r>
        <w:rPr>
          <w:rFonts w:hint="eastAsia" w:ascii="楷体" w:hAnsi="楷体" w:eastAsia="楷体" w:cs="楷体"/>
          <w:b/>
          <w:bCs/>
          <w:sz w:val="32"/>
          <w:szCs w:val="32"/>
        </w:rPr>
        <w:t>部门职责及工作活动绩效目标指标：</w:t>
      </w:r>
    </w:p>
    <w:tbl>
      <w:tblPr>
        <w:tblStyle w:val="6"/>
        <w:tblW w:w="14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276"/>
        <w:gridCol w:w="1168"/>
        <w:gridCol w:w="1808"/>
        <w:gridCol w:w="2976"/>
        <w:gridCol w:w="781"/>
        <w:gridCol w:w="636"/>
        <w:gridCol w:w="776"/>
        <w:gridCol w:w="776"/>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5"/>
          <w:wBefore w:w="4785" w:type="dxa"/>
          <w:wAfter w:w="3662" w:type="dxa"/>
          <w:trHeight w:val="639" w:hRule="atLeast"/>
          <w:tblHeader/>
          <w:jc w:val="center"/>
        </w:trPr>
        <w:tc>
          <w:tcPr>
            <w:tcW w:w="5565" w:type="dxa"/>
            <w:gridSpan w:val="3"/>
            <w:tcBorders>
              <w:top w:val="nil"/>
              <w:left w:val="nil"/>
              <w:bottom w:val="nil"/>
              <w:right w:val="nil"/>
            </w:tcBorders>
          </w:tcPr>
          <w:p>
            <w:pPr>
              <w:jc w:val="center"/>
              <w:outlineLvl w:val="0"/>
              <w:rPr>
                <w:rFonts w:ascii="方正小标宋_GBK" w:eastAsia="方正小标宋_GBK" w:cs="Times New Roman"/>
                <w:sz w:val="32"/>
                <w:szCs w:val="32"/>
              </w:rPr>
            </w:pPr>
            <w:bookmarkStart w:id="0" w:name="_Toc477342769"/>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p>
        </w:tc>
      </w:tr>
      <w:bookmarkEnd w:id="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blHeader/>
          <w:jc w:val="center"/>
        </w:trPr>
        <w:tc>
          <w:tcPr>
            <w:tcW w:w="1098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8"/>
                <w:szCs w:val="28"/>
              </w:rPr>
            </w:pPr>
            <w:r>
              <w:rPr>
                <w:rFonts w:ascii="方正小标宋_GBK" w:eastAsia="方正小标宋_GBK" w:cs="方正小标宋_GBK"/>
                <w:sz w:val="28"/>
                <w:szCs w:val="28"/>
              </w:rPr>
              <w:t>957</w:t>
            </w:r>
            <w:r>
              <w:rPr>
                <w:rFonts w:hint="eastAsia" w:ascii="方正小标宋_GBK" w:eastAsia="方正小标宋_GBK" w:cs="方正小标宋_GBK"/>
                <w:sz w:val="28"/>
                <w:szCs w:val="28"/>
                <w:lang w:eastAsia="zh-CN"/>
              </w:rPr>
              <w:t>大厂回族自治县</w:t>
            </w:r>
            <w:r>
              <w:rPr>
                <w:rFonts w:hint="eastAsia" w:ascii="方正小标宋_GBK" w:eastAsia="方正小标宋_GBK" w:cs="方正小标宋_GBK"/>
                <w:sz w:val="28"/>
                <w:szCs w:val="28"/>
              </w:rPr>
              <w:t>供销合作社</w:t>
            </w:r>
          </w:p>
        </w:tc>
        <w:tc>
          <w:tcPr>
            <w:tcW w:w="3026"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8"/>
                <w:szCs w:val="28"/>
              </w:rPr>
            </w:pPr>
            <w:r>
              <w:rPr>
                <w:rFonts w:hint="eastAsia" w:ascii="方正书宋_GBK" w:eastAsia="方正书宋_GBK" w:cs="方正书宋_GBK"/>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职责活动</w:t>
            </w:r>
          </w:p>
        </w:tc>
        <w:tc>
          <w:tcPr>
            <w:tcW w:w="1276"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年度预算数</w:t>
            </w:r>
          </w:p>
        </w:tc>
        <w:tc>
          <w:tcPr>
            <w:tcW w:w="2976" w:type="dxa"/>
            <w:gridSpan w:val="2"/>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内容描述</w:t>
            </w:r>
          </w:p>
        </w:tc>
        <w:tc>
          <w:tcPr>
            <w:tcW w:w="2976"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绩效目标</w:t>
            </w:r>
          </w:p>
        </w:tc>
        <w:tc>
          <w:tcPr>
            <w:tcW w:w="1417" w:type="dxa"/>
            <w:gridSpan w:val="2"/>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绩效指标</w:t>
            </w:r>
          </w:p>
        </w:tc>
        <w:tc>
          <w:tcPr>
            <w:tcW w:w="3026" w:type="dxa"/>
            <w:gridSpan w:val="4"/>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 w:hAnsi="仿宋" w:eastAsia="仿宋" w:cs="Times New Roman"/>
                <w:sz w:val="28"/>
                <w:szCs w:val="28"/>
              </w:rPr>
            </w:pPr>
          </w:p>
        </w:tc>
        <w:tc>
          <w:tcPr>
            <w:tcW w:w="1276" w:type="dxa"/>
            <w:vMerge w:val="continue"/>
            <w:vAlign w:val="center"/>
          </w:tcPr>
          <w:p>
            <w:pPr>
              <w:spacing w:line="300" w:lineRule="exact"/>
              <w:jc w:val="left"/>
              <w:outlineLvl w:val="0"/>
              <w:rPr>
                <w:rFonts w:ascii="仿宋" w:hAnsi="仿宋" w:eastAsia="仿宋" w:cs="Times New Roman"/>
                <w:sz w:val="28"/>
                <w:szCs w:val="28"/>
              </w:rPr>
            </w:pPr>
          </w:p>
        </w:tc>
        <w:tc>
          <w:tcPr>
            <w:tcW w:w="2976" w:type="dxa"/>
            <w:gridSpan w:val="2"/>
            <w:vMerge w:val="continue"/>
            <w:vAlign w:val="center"/>
          </w:tcPr>
          <w:p>
            <w:pPr>
              <w:spacing w:line="300" w:lineRule="exact"/>
              <w:jc w:val="left"/>
              <w:outlineLvl w:val="0"/>
              <w:rPr>
                <w:rFonts w:ascii="仿宋" w:hAnsi="仿宋" w:eastAsia="仿宋" w:cs="Times New Roman"/>
                <w:sz w:val="28"/>
                <w:szCs w:val="28"/>
              </w:rPr>
            </w:pPr>
          </w:p>
        </w:tc>
        <w:tc>
          <w:tcPr>
            <w:tcW w:w="2976" w:type="dxa"/>
            <w:vMerge w:val="continue"/>
            <w:vAlign w:val="center"/>
          </w:tcPr>
          <w:p>
            <w:pPr>
              <w:spacing w:line="300" w:lineRule="exact"/>
              <w:jc w:val="left"/>
              <w:outlineLvl w:val="0"/>
              <w:rPr>
                <w:rFonts w:ascii="仿宋" w:hAnsi="仿宋" w:eastAsia="仿宋" w:cs="Times New Roman"/>
                <w:sz w:val="28"/>
                <w:szCs w:val="28"/>
              </w:rPr>
            </w:pPr>
          </w:p>
        </w:tc>
        <w:tc>
          <w:tcPr>
            <w:tcW w:w="1417" w:type="dxa"/>
            <w:gridSpan w:val="2"/>
            <w:vMerge w:val="continue"/>
            <w:vAlign w:val="center"/>
          </w:tcPr>
          <w:p>
            <w:pPr>
              <w:spacing w:line="300" w:lineRule="exact"/>
              <w:jc w:val="left"/>
              <w:outlineLvl w:val="0"/>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优</w:t>
            </w:r>
          </w:p>
        </w:tc>
        <w:tc>
          <w:tcPr>
            <w:tcW w:w="776"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良</w:t>
            </w:r>
          </w:p>
        </w:tc>
        <w:tc>
          <w:tcPr>
            <w:tcW w:w="737"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中</w:t>
            </w:r>
          </w:p>
        </w:tc>
        <w:tc>
          <w:tcPr>
            <w:tcW w:w="737"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供销流通管理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贯彻落实党和政府商业流通有关方针政策，研究制定行业发展战略和规划，组织指导行业改革发展，负责行业管理，开展教育培训，维护合法权益</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确保供销社事业改革、发展和壮大、发挥供销社在商业流通服务的作用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发展现代流通网络建设及管理</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落实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健全农资、农副产品、日用消费品、再生资源回收利用四大网络，加快形成连锁化、规模化、品牌化经营服务新格局；发展农村电子商务，形成网上交易、仓储物流、终端配送一体化经营，推动线上线下融合发展。</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连锁经营销售额占全县供销社销售额比重</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15%</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全县供销社流通网络购销总额增长率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3%</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社属企业运营管理及建设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指导社属企业经营管理，对社属企业进行监督检查，完善企业运营管理制度并监督执行，行使出资人职能、确保社有资产的安全和增值</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社有企业实现跨越式发展，供销社体制机制明显优化，营业收入、利润总额和净资产均有不同程度增长。</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利润总额增长率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营业收入增长率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社有资产增值比率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服务三农事务管理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贯彻落实党和政府有关</w:t>
            </w:r>
            <w:r>
              <w:rPr>
                <w:rFonts w:ascii="仿宋" w:hAnsi="仿宋" w:eastAsia="仿宋" w:cs="仿宋"/>
                <w:sz w:val="28"/>
                <w:szCs w:val="28"/>
              </w:rPr>
              <w:t xml:space="preserve"> </w:t>
            </w:r>
            <w:r>
              <w:rPr>
                <w:rFonts w:hint="eastAsia" w:ascii="仿宋" w:hAnsi="仿宋" w:eastAsia="仿宋" w:cs="仿宋"/>
                <w:sz w:val="28"/>
                <w:szCs w:val="28"/>
              </w:rPr>
              <w:t>服务“三农”方针政策，以供销合作社体系为依托，自下而上组建农民合作社联合社、创新组织体系、服务体系和农村金融体系</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紧紧围绕“三农”工作大局，以密切与农民利益联结为核心，以提升为农服务能力为根本，以强化基</w:t>
            </w:r>
            <w:r>
              <w:rPr>
                <w:rFonts w:ascii="仿宋" w:hAnsi="仿宋" w:eastAsia="仿宋" w:cs="仿宋"/>
                <w:sz w:val="28"/>
                <w:szCs w:val="28"/>
              </w:rPr>
              <w:t xml:space="preserve"> </w:t>
            </w:r>
            <w:r>
              <w:rPr>
                <w:rFonts w:hint="eastAsia" w:ascii="仿宋" w:hAnsi="仿宋" w:eastAsia="仿宋" w:cs="仿宋"/>
                <w:sz w:val="28"/>
                <w:szCs w:val="28"/>
              </w:rPr>
              <w:t>层社和创新联合社治理机制为重点，按照政事分开、社企分开的方向，推进体制改革和机制创新，加快建成适应社会主义市场经济需要、适应城乡发展一体化需要、适应中国特色农业现代化需要的组织体系和服务机制。</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组织体系建设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以供销合作社体系为依托，自下而上组建农民合作社联合社</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组建农民合作社联合社</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带动区域内产业发展个数</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1</w:t>
            </w: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联合农民专业合作社个数</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7</w:t>
            </w: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5</w:t>
            </w: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服务体系建设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供销合作社要把为农服务放在首位。面向农业现代化、面向农民生产生活，推动供销合作社由流通服务向全程农业社会化服务延伸、向全方位城乡社区服务拓展，</w:t>
            </w:r>
            <w:r>
              <w:rPr>
                <w:rFonts w:ascii="仿宋" w:hAnsi="仿宋" w:eastAsia="仿宋" w:cs="仿宋"/>
                <w:sz w:val="28"/>
                <w:szCs w:val="28"/>
              </w:rPr>
              <w:t xml:space="preserve"> </w:t>
            </w:r>
            <w:r>
              <w:rPr>
                <w:rFonts w:hint="eastAsia" w:ascii="仿宋" w:hAnsi="仿宋" w:eastAsia="仿宋" w:cs="仿宋"/>
                <w:sz w:val="28"/>
                <w:szCs w:val="28"/>
              </w:rPr>
              <w:t>参与农业综合开发，加快形成综合性、规模化、可持续的为农服务体系，在农资供应、农产品流通、农民技能培训等重点领域和环节为农民提供便利实惠、安全优质的服务</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服务体系覆盖率</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80%</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示范性培训新型农民和农村实用技能人才人次</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200</w:t>
            </w:r>
            <w:r>
              <w:rPr>
                <w:rFonts w:hint="eastAsia" w:ascii="仿宋" w:hAnsi="仿宋" w:eastAsia="仿宋" w:cs="仿宋"/>
                <w:sz w:val="28"/>
                <w:szCs w:val="28"/>
              </w:rPr>
              <w:t>以上</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200</w:t>
            </w:r>
            <w:r>
              <w:rPr>
                <w:rFonts w:hint="eastAsia" w:ascii="仿宋" w:hAnsi="仿宋" w:eastAsia="仿宋" w:cs="仿宋"/>
                <w:sz w:val="28"/>
                <w:szCs w:val="28"/>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农村社区综合服务中心（社、站）数量</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创新农村金融体系建设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创新金融服务方式和手段，创建农村合作金融服务体系，以企业为主体，以市场为导向，通过组织上积极引导、利益上不断凝聚、服务上广泛吸引，整合投资管理、农村产权交易、融资担保、合作保险和农产品电商等业态，稳步开展农村合作金融服务，实现服务三农、普惠金融目标，真正将供销社打造成上下贯通、利益链接、一体化运营的为农服务的生力军和综合平台</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创建农村合作金融体系</w:t>
            </w:r>
            <w:r>
              <w:rPr>
                <w:rFonts w:ascii="仿宋" w:hAnsi="仿宋" w:eastAsia="仿宋" w:cs="仿宋"/>
                <w:sz w:val="28"/>
                <w:szCs w:val="28"/>
              </w:rPr>
              <w:t>,</w:t>
            </w:r>
            <w:r>
              <w:rPr>
                <w:rFonts w:hint="eastAsia" w:ascii="仿宋" w:hAnsi="仿宋" w:eastAsia="仿宋" w:cs="仿宋"/>
                <w:sz w:val="28"/>
                <w:szCs w:val="28"/>
              </w:rPr>
              <w:t>拓宽“三农”融资的渠道，按照统一要求、标准、计划，完成各项工作的建设任务，实现供销社合作金融体系上下贯通、利益链接、一体化运营。初步实现供销金融超市全县基层全覆盖</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金融超市和村级助农服务网点数量（家）</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50</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建设金融超市和村级助农服务网点数量（家）</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物资储备管理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按照政府授权，承担管理食盐及救灾物资等重要物资的储备任务</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充分发挥供销社在流通领域的应急调控作用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重要商品物资储备及监管</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调节商品供求关系，稳定物价、保障市场供应、保证防汛救灾的需要、增强政府对市场的宏观调控能力和应急保障</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安排、组织代储企业依据储备计划及时足额、保质保量做好储备商品的收储、轮换等工作</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质量良好率</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85%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储备计划完成率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盐务管理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组织开展全县盐业行政执法活动，打击盐业违法行为、对直属企业进行改革和管理</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保障食盐在流通环节的安全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组织实施盐政执法</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组织开展全县盐业行政执法活动，打击盐业违法行为，查处重大盐业违法案件。规范盐业行政执法案件程序和执法案卷；追究执法过错责任，纠正违法执法行为</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全县盐业违法行为得到有效打击和遏制，实现食盐安全生产和流通</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食盐产品合格率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盐业执法人员培训考核通过率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重大盐业违法行为、案件处理率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w:t>
            </w:r>
          </w:p>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盐业体制改革</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按照县政府安排推动盐业体制改革工作</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完成县政府交办的改革任务</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县政府改革任务完成率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80%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60%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供销合作政务管理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负责供销合作社系统综合业务管理和机关综合事务管理</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确保各项业务工作谋划到位、顺利开展</w:t>
            </w:r>
            <w:r>
              <w:rPr>
                <w:rFonts w:ascii="仿宋" w:hAnsi="仿宋" w:eastAsia="仿宋" w:cs="仿宋"/>
                <w:sz w:val="28"/>
                <w:szCs w:val="28"/>
              </w:rPr>
              <w:t>,</w:t>
            </w:r>
            <w:r>
              <w:rPr>
                <w:rFonts w:hint="eastAsia" w:ascii="仿宋" w:hAnsi="仿宋" w:eastAsia="仿宋" w:cs="仿宋"/>
                <w:sz w:val="28"/>
                <w:szCs w:val="28"/>
              </w:rPr>
              <w:t>保障机关工作正常高效运转</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综合业务管理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制订系统发展战略和规划、指导系统业务活动和综合改革试点及事业发展；开展行业调查研究，制定相关行业政策、法规规章制度；信访接待、业务宣传、政务信息公开等工作。</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确保各项业务工作谋划到位、顺利开展</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系统业务活动完成率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综合事务管理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会议组织管理、信息化建设与维护、机关财务和资产管理、标准化建设、基建及维修、设备购置、人事管理、机关党工委工作、老干部工作等。</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保障机关工作正常高效运转</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综合行政事务办结率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bl>
    <w:p>
      <w:pPr>
        <w:jc w:val="center"/>
        <w:outlineLvl w:val="0"/>
        <w:rPr>
          <w:rFonts w:ascii="宋体" w:cs="Times New Roman"/>
          <w:b/>
          <w:bCs/>
          <w:sz w:val="28"/>
          <w:szCs w:val="28"/>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firstLineChars="200"/>
        <w:outlineLvl w:val="0"/>
        <w:rPr>
          <w:rFonts w:ascii="仿宋" w:hAnsi="仿宋" w:eastAsia="仿宋" w:cs="Times New Roman"/>
          <w:sz w:val="32"/>
          <w:szCs w:val="24"/>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年，我部门未安排政府采购预算。</w:t>
      </w:r>
      <w:r>
        <w:rPr>
          <w:rFonts w:ascii="仿宋" w:hAnsi="仿宋" w:eastAsia="仿宋" w:cs="Times New Roman"/>
          <w:sz w:val="32"/>
          <w:szCs w:val="24"/>
        </w:rPr>
        <w:t>具体内容见下表。</w:t>
      </w:r>
    </w:p>
    <w:p>
      <w:pPr>
        <w:jc w:val="center"/>
        <w:outlineLvl w:val="1"/>
        <w:rPr>
          <w:rFonts w:hint="eastAsia" w:ascii="方正小标宋_GBK" w:eastAsia="方正小标宋_GBK" w:cs="Times New Roman"/>
          <w:sz w:val="32"/>
        </w:rPr>
      </w:pPr>
      <w:bookmarkStart w:id="1" w:name="_Toc64920910"/>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1"/>
    </w:p>
    <w:tbl>
      <w:tblPr>
        <w:tblStyle w:val="6"/>
        <w:tblW w:w="14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0"/>
        <w:gridCol w:w="1038"/>
        <w:gridCol w:w="1405"/>
        <w:gridCol w:w="1405"/>
        <w:gridCol w:w="650"/>
        <w:gridCol w:w="832"/>
        <w:gridCol w:w="831"/>
        <w:gridCol w:w="1038"/>
        <w:gridCol w:w="1041"/>
        <w:gridCol w:w="1039"/>
        <w:gridCol w:w="1041"/>
        <w:gridCol w:w="1039"/>
        <w:gridCol w:w="1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blHeader/>
          <w:jc w:val="center"/>
        </w:trPr>
        <w:tc>
          <w:tcPr>
            <w:tcW w:w="798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rPr>
              <w:t>大厂回族自治县</w:t>
            </w:r>
            <w:r>
              <w:rPr>
                <w:rFonts w:hint="eastAsia" w:ascii="方正小标宋_GBK" w:eastAsia="方正小标宋_GBK"/>
                <w:sz w:val="24"/>
                <w:lang w:eastAsia="zh-CN"/>
              </w:rPr>
              <w:t>供销合作社</w:t>
            </w:r>
          </w:p>
        </w:tc>
        <w:tc>
          <w:tcPr>
            <w:tcW w:w="6239"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blHeader/>
          <w:jc w:val="center"/>
        </w:trPr>
        <w:tc>
          <w:tcPr>
            <w:tcW w:w="285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40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40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5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32"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239"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tblHeader/>
          <w:jc w:val="center"/>
        </w:trPr>
        <w:tc>
          <w:tcPr>
            <w:tcW w:w="182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3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405" w:type="dxa"/>
            <w:vMerge w:val="continue"/>
            <w:shd w:val="clear" w:color="auto" w:fill="auto"/>
            <w:vAlign w:val="center"/>
          </w:tcPr>
          <w:p/>
        </w:tc>
        <w:tc>
          <w:tcPr>
            <w:tcW w:w="1405" w:type="dxa"/>
            <w:vMerge w:val="continue"/>
            <w:shd w:val="clear" w:color="auto" w:fill="auto"/>
            <w:vAlign w:val="center"/>
          </w:tcPr>
          <w:p/>
        </w:tc>
        <w:tc>
          <w:tcPr>
            <w:tcW w:w="650" w:type="dxa"/>
            <w:vMerge w:val="continue"/>
            <w:shd w:val="clear" w:color="auto" w:fill="auto"/>
            <w:vAlign w:val="center"/>
          </w:tcPr>
          <w:p/>
        </w:tc>
        <w:tc>
          <w:tcPr>
            <w:tcW w:w="832" w:type="dxa"/>
            <w:vMerge w:val="continue"/>
            <w:shd w:val="clear" w:color="auto" w:fill="auto"/>
            <w:vAlign w:val="center"/>
          </w:tcPr>
          <w:p/>
        </w:tc>
        <w:tc>
          <w:tcPr>
            <w:tcW w:w="831" w:type="dxa"/>
            <w:vMerge w:val="continue"/>
            <w:shd w:val="clear" w:color="auto" w:fill="auto"/>
            <w:vAlign w:val="center"/>
          </w:tcPr>
          <w:p/>
        </w:tc>
        <w:tc>
          <w:tcPr>
            <w:tcW w:w="103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4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039"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4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039"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04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82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038" w:type="dxa"/>
            <w:shd w:val="clear" w:color="auto" w:fill="auto"/>
            <w:vAlign w:val="center"/>
          </w:tcPr>
          <w:p>
            <w:pPr>
              <w:spacing w:line="300" w:lineRule="exact"/>
              <w:jc w:val="right"/>
              <w:rPr>
                <w:rFonts w:ascii="方正书宋_GBK" w:eastAsia="方正书宋_GBK" w:cs="Times New Roman"/>
                <w:b/>
              </w:rPr>
            </w:pPr>
          </w:p>
        </w:tc>
        <w:tc>
          <w:tcPr>
            <w:tcW w:w="1405" w:type="dxa"/>
            <w:shd w:val="clear" w:color="auto" w:fill="auto"/>
            <w:vAlign w:val="center"/>
          </w:tcPr>
          <w:p>
            <w:pPr>
              <w:spacing w:line="300" w:lineRule="exact"/>
              <w:jc w:val="left"/>
              <w:rPr>
                <w:rFonts w:ascii="方正书宋_GBK" w:eastAsia="方正书宋_GBK" w:cs="Times New Roman"/>
                <w:b/>
              </w:rPr>
            </w:pPr>
          </w:p>
        </w:tc>
        <w:tc>
          <w:tcPr>
            <w:tcW w:w="1405" w:type="dxa"/>
            <w:shd w:val="clear" w:color="auto" w:fill="auto"/>
            <w:vAlign w:val="center"/>
          </w:tcPr>
          <w:p>
            <w:pPr>
              <w:spacing w:line="300" w:lineRule="exact"/>
              <w:jc w:val="left"/>
              <w:rPr>
                <w:rFonts w:ascii="方正书宋_GBK" w:eastAsia="方正书宋_GBK" w:cs="Times New Roman"/>
                <w:b/>
              </w:rPr>
            </w:pPr>
          </w:p>
        </w:tc>
        <w:tc>
          <w:tcPr>
            <w:tcW w:w="650" w:type="dxa"/>
            <w:shd w:val="clear" w:color="auto" w:fill="auto"/>
            <w:vAlign w:val="center"/>
          </w:tcPr>
          <w:p>
            <w:pPr>
              <w:spacing w:line="300" w:lineRule="exact"/>
              <w:jc w:val="center"/>
              <w:rPr>
                <w:rFonts w:ascii="方正书宋_GBK" w:eastAsia="方正书宋_GBK" w:cs="Times New Roman"/>
                <w:b/>
              </w:rPr>
            </w:pPr>
          </w:p>
        </w:tc>
        <w:tc>
          <w:tcPr>
            <w:tcW w:w="832" w:type="dxa"/>
            <w:shd w:val="clear" w:color="auto" w:fill="auto"/>
            <w:vAlign w:val="center"/>
          </w:tcPr>
          <w:p>
            <w:pPr>
              <w:spacing w:line="300" w:lineRule="exact"/>
              <w:jc w:val="right"/>
              <w:rPr>
                <w:rFonts w:ascii="方正书宋_GBK" w:eastAsia="方正书宋_GBK" w:cs="Times New Roman"/>
                <w:b/>
              </w:rPr>
            </w:pPr>
          </w:p>
        </w:tc>
        <w:tc>
          <w:tcPr>
            <w:tcW w:w="831" w:type="dxa"/>
            <w:shd w:val="clear" w:color="auto" w:fill="auto"/>
            <w:vAlign w:val="center"/>
          </w:tcPr>
          <w:p>
            <w:pPr>
              <w:spacing w:line="300" w:lineRule="exact"/>
              <w:jc w:val="right"/>
              <w:rPr>
                <w:rFonts w:ascii="方正书宋_GBK" w:eastAsia="方正书宋_GBK" w:cs="Times New Roman"/>
                <w:b/>
              </w:rPr>
            </w:pPr>
          </w:p>
        </w:tc>
        <w:tc>
          <w:tcPr>
            <w:tcW w:w="1038" w:type="dxa"/>
            <w:shd w:val="clear" w:color="auto" w:fill="auto"/>
            <w:vAlign w:val="center"/>
          </w:tcPr>
          <w:p>
            <w:pPr>
              <w:spacing w:line="300" w:lineRule="exact"/>
              <w:jc w:val="right"/>
              <w:rPr>
                <w:rFonts w:ascii="方正书宋_GBK" w:eastAsia="方正书宋_GBK" w:cs="Times New Roman"/>
                <w:b/>
              </w:rPr>
            </w:pPr>
          </w:p>
        </w:tc>
        <w:tc>
          <w:tcPr>
            <w:tcW w:w="1041" w:type="dxa"/>
            <w:shd w:val="clear" w:color="auto" w:fill="auto"/>
            <w:vAlign w:val="center"/>
          </w:tcPr>
          <w:p>
            <w:pPr>
              <w:spacing w:line="300" w:lineRule="exact"/>
              <w:jc w:val="right"/>
              <w:rPr>
                <w:rFonts w:ascii="方正书宋_GBK" w:eastAsia="方正书宋_GBK" w:cs="Times New Roman"/>
                <w:b/>
              </w:rPr>
            </w:pPr>
          </w:p>
        </w:tc>
        <w:tc>
          <w:tcPr>
            <w:tcW w:w="1039" w:type="dxa"/>
            <w:shd w:val="clear" w:color="auto" w:fill="auto"/>
            <w:vAlign w:val="center"/>
          </w:tcPr>
          <w:p>
            <w:pPr>
              <w:spacing w:line="300" w:lineRule="exact"/>
              <w:jc w:val="right"/>
              <w:rPr>
                <w:rFonts w:ascii="方正书宋_GBK" w:eastAsia="方正书宋_GBK" w:cs="Times New Roman"/>
                <w:b/>
              </w:rPr>
            </w:pPr>
          </w:p>
        </w:tc>
        <w:tc>
          <w:tcPr>
            <w:tcW w:w="1041" w:type="dxa"/>
            <w:shd w:val="clear" w:color="auto" w:fill="auto"/>
            <w:vAlign w:val="center"/>
          </w:tcPr>
          <w:p>
            <w:pPr>
              <w:spacing w:line="300" w:lineRule="exact"/>
              <w:jc w:val="right"/>
              <w:rPr>
                <w:rFonts w:ascii="方正书宋_GBK" w:eastAsia="方正书宋_GBK" w:cs="Times New Roman"/>
                <w:b/>
              </w:rPr>
            </w:pPr>
          </w:p>
        </w:tc>
        <w:tc>
          <w:tcPr>
            <w:tcW w:w="1039" w:type="dxa"/>
            <w:shd w:val="clear" w:color="auto" w:fill="auto"/>
            <w:vAlign w:val="center"/>
          </w:tcPr>
          <w:p>
            <w:pPr>
              <w:spacing w:line="300" w:lineRule="exact"/>
              <w:jc w:val="right"/>
              <w:rPr>
                <w:rFonts w:ascii="方正书宋_GBK" w:eastAsia="方正书宋_GBK" w:cs="Times New Roman"/>
                <w:b/>
              </w:rPr>
            </w:pPr>
          </w:p>
        </w:tc>
        <w:tc>
          <w:tcPr>
            <w:tcW w:w="1041"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820" w:type="dxa"/>
            <w:shd w:val="clear" w:color="auto" w:fill="auto"/>
            <w:vAlign w:val="center"/>
          </w:tcPr>
          <w:p>
            <w:pPr>
              <w:spacing w:line="300" w:lineRule="exact"/>
              <w:jc w:val="center"/>
              <w:rPr>
                <w:rFonts w:ascii="方正书宋_GBK" w:eastAsia="方正书宋_GBK" w:cs="Times New Roman"/>
                <w:b/>
              </w:rPr>
            </w:pPr>
          </w:p>
        </w:tc>
        <w:tc>
          <w:tcPr>
            <w:tcW w:w="1038" w:type="dxa"/>
            <w:shd w:val="clear" w:color="auto" w:fill="auto"/>
            <w:vAlign w:val="center"/>
          </w:tcPr>
          <w:p>
            <w:pPr>
              <w:spacing w:line="300" w:lineRule="exact"/>
              <w:jc w:val="right"/>
              <w:rPr>
                <w:rFonts w:ascii="方正书宋_GBK" w:eastAsia="方正书宋_GBK" w:cs="Times New Roman"/>
                <w:b/>
              </w:rPr>
            </w:pPr>
          </w:p>
        </w:tc>
        <w:tc>
          <w:tcPr>
            <w:tcW w:w="1405" w:type="dxa"/>
            <w:shd w:val="clear" w:color="auto" w:fill="auto"/>
            <w:vAlign w:val="center"/>
          </w:tcPr>
          <w:p>
            <w:pPr>
              <w:spacing w:line="300" w:lineRule="exact"/>
              <w:jc w:val="left"/>
              <w:rPr>
                <w:rFonts w:ascii="方正书宋_GBK" w:eastAsia="方正书宋_GBK" w:cs="Times New Roman"/>
                <w:b/>
              </w:rPr>
            </w:pPr>
          </w:p>
        </w:tc>
        <w:tc>
          <w:tcPr>
            <w:tcW w:w="1405" w:type="dxa"/>
            <w:shd w:val="clear" w:color="auto" w:fill="auto"/>
            <w:vAlign w:val="center"/>
          </w:tcPr>
          <w:p>
            <w:pPr>
              <w:spacing w:line="300" w:lineRule="exact"/>
              <w:jc w:val="left"/>
              <w:rPr>
                <w:rFonts w:ascii="方正书宋_GBK" w:eastAsia="方正书宋_GBK" w:cs="Times New Roman"/>
                <w:b/>
              </w:rPr>
            </w:pPr>
          </w:p>
        </w:tc>
        <w:tc>
          <w:tcPr>
            <w:tcW w:w="650" w:type="dxa"/>
            <w:shd w:val="clear" w:color="auto" w:fill="auto"/>
            <w:vAlign w:val="center"/>
          </w:tcPr>
          <w:p>
            <w:pPr>
              <w:spacing w:line="300" w:lineRule="exact"/>
              <w:jc w:val="center"/>
              <w:rPr>
                <w:rFonts w:ascii="方正书宋_GBK" w:eastAsia="方正书宋_GBK" w:cs="Times New Roman"/>
                <w:b/>
              </w:rPr>
            </w:pPr>
          </w:p>
        </w:tc>
        <w:tc>
          <w:tcPr>
            <w:tcW w:w="832" w:type="dxa"/>
            <w:shd w:val="clear" w:color="auto" w:fill="auto"/>
            <w:vAlign w:val="center"/>
          </w:tcPr>
          <w:p>
            <w:pPr>
              <w:spacing w:line="300" w:lineRule="exact"/>
              <w:jc w:val="right"/>
              <w:rPr>
                <w:rFonts w:ascii="方正书宋_GBK" w:eastAsia="方正书宋_GBK" w:cs="Times New Roman"/>
                <w:b/>
              </w:rPr>
            </w:pPr>
          </w:p>
        </w:tc>
        <w:tc>
          <w:tcPr>
            <w:tcW w:w="831" w:type="dxa"/>
            <w:shd w:val="clear" w:color="auto" w:fill="auto"/>
            <w:vAlign w:val="center"/>
          </w:tcPr>
          <w:p>
            <w:pPr>
              <w:spacing w:line="300" w:lineRule="exact"/>
              <w:jc w:val="right"/>
              <w:rPr>
                <w:rFonts w:ascii="方正书宋_GBK" w:eastAsia="方正书宋_GBK" w:cs="Times New Roman"/>
                <w:b/>
              </w:rPr>
            </w:pPr>
          </w:p>
        </w:tc>
        <w:tc>
          <w:tcPr>
            <w:tcW w:w="1038" w:type="dxa"/>
            <w:shd w:val="clear" w:color="auto" w:fill="auto"/>
            <w:vAlign w:val="center"/>
          </w:tcPr>
          <w:p>
            <w:pPr>
              <w:spacing w:line="300" w:lineRule="exact"/>
              <w:jc w:val="right"/>
              <w:rPr>
                <w:rFonts w:ascii="方正书宋_GBK" w:eastAsia="方正书宋_GBK" w:cs="Times New Roman"/>
                <w:b/>
              </w:rPr>
            </w:pPr>
          </w:p>
        </w:tc>
        <w:tc>
          <w:tcPr>
            <w:tcW w:w="1041" w:type="dxa"/>
            <w:shd w:val="clear" w:color="auto" w:fill="auto"/>
            <w:vAlign w:val="center"/>
          </w:tcPr>
          <w:p>
            <w:pPr>
              <w:spacing w:line="300" w:lineRule="exact"/>
              <w:jc w:val="right"/>
              <w:rPr>
                <w:rFonts w:ascii="方正书宋_GBK" w:eastAsia="方正书宋_GBK" w:cs="Times New Roman"/>
                <w:b/>
              </w:rPr>
            </w:pPr>
          </w:p>
        </w:tc>
        <w:tc>
          <w:tcPr>
            <w:tcW w:w="1039" w:type="dxa"/>
            <w:shd w:val="clear" w:color="auto" w:fill="auto"/>
            <w:vAlign w:val="center"/>
          </w:tcPr>
          <w:p>
            <w:pPr>
              <w:spacing w:line="300" w:lineRule="exact"/>
              <w:jc w:val="right"/>
              <w:rPr>
                <w:rFonts w:ascii="方正书宋_GBK" w:eastAsia="方正书宋_GBK" w:cs="Times New Roman"/>
                <w:b/>
              </w:rPr>
            </w:pPr>
          </w:p>
        </w:tc>
        <w:tc>
          <w:tcPr>
            <w:tcW w:w="1041" w:type="dxa"/>
            <w:shd w:val="clear" w:color="auto" w:fill="auto"/>
            <w:vAlign w:val="center"/>
          </w:tcPr>
          <w:p>
            <w:pPr>
              <w:spacing w:line="300" w:lineRule="exact"/>
              <w:jc w:val="right"/>
              <w:rPr>
                <w:rFonts w:ascii="方正书宋_GBK" w:eastAsia="方正书宋_GBK" w:cs="Times New Roman"/>
                <w:b/>
              </w:rPr>
            </w:pPr>
          </w:p>
        </w:tc>
        <w:tc>
          <w:tcPr>
            <w:tcW w:w="1039" w:type="dxa"/>
            <w:shd w:val="clear" w:color="auto" w:fill="auto"/>
            <w:vAlign w:val="center"/>
          </w:tcPr>
          <w:p>
            <w:pPr>
              <w:spacing w:line="300" w:lineRule="exact"/>
              <w:jc w:val="right"/>
              <w:rPr>
                <w:rFonts w:ascii="方正书宋_GBK" w:eastAsia="方正书宋_GBK" w:cs="Times New Roman"/>
                <w:b/>
              </w:rPr>
            </w:pPr>
          </w:p>
        </w:tc>
        <w:tc>
          <w:tcPr>
            <w:tcW w:w="1041"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820" w:type="dxa"/>
            <w:shd w:val="clear" w:color="auto" w:fill="auto"/>
            <w:vAlign w:val="center"/>
          </w:tcPr>
          <w:p>
            <w:pPr>
              <w:spacing w:line="300" w:lineRule="exact"/>
              <w:jc w:val="lef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650" w:type="dxa"/>
            <w:shd w:val="clear" w:color="auto" w:fill="auto"/>
            <w:vAlign w:val="center"/>
          </w:tcPr>
          <w:p>
            <w:pPr>
              <w:spacing w:line="300" w:lineRule="exact"/>
              <w:jc w:val="center"/>
              <w:rPr>
                <w:rFonts w:ascii="方正书宋_GBK" w:eastAsia="方正书宋_GBK" w:cs="Times New Roman"/>
              </w:rPr>
            </w:pPr>
          </w:p>
        </w:tc>
        <w:tc>
          <w:tcPr>
            <w:tcW w:w="832" w:type="dxa"/>
            <w:shd w:val="clear" w:color="auto" w:fill="auto"/>
            <w:vAlign w:val="center"/>
          </w:tcPr>
          <w:p>
            <w:pPr>
              <w:spacing w:line="300" w:lineRule="exact"/>
              <w:jc w:val="right"/>
              <w:rPr>
                <w:rFonts w:ascii="方正书宋_GBK" w:eastAsia="方正书宋_GBK" w:cs="Times New Roman"/>
              </w:rPr>
            </w:pPr>
          </w:p>
        </w:tc>
        <w:tc>
          <w:tcPr>
            <w:tcW w:w="831" w:type="dxa"/>
            <w:shd w:val="clear" w:color="auto" w:fill="auto"/>
            <w:vAlign w:val="center"/>
          </w:tcPr>
          <w:p>
            <w:pPr>
              <w:spacing w:line="300" w:lineRule="exact"/>
              <w:jc w:val="righ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820" w:type="dxa"/>
            <w:shd w:val="clear" w:color="auto" w:fill="auto"/>
            <w:vAlign w:val="center"/>
          </w:tcPr>
          <w:p>
            <w:pPr>
              <w:spacing w:line="300" w:lineRule="exact"/>
              <w:jc w:val="lef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650" w:type="dxa"/>
            <w:shd w:val="clear" w:color="auto" w:fill="auto"/>
            <w:vAlign w:val="center"/>
          </w:tcPr>
          <w:p>
            <w:pPr>
              <w:spacing w:line="300" w:lineRule="exact"/>
              <w:jc w:val="center"/>
              <w:rPr>
                <w:rFonts w:ascii="方正书宋_GBK" w:eastAsia="方正书宋_GBK" w:cs="Times New Roman"/>
              </w:rPr>
            </w:pPr>
          </w:p>
        </w:tc>
        <w:tc>
          <w:tcPr>
            <w:tcW w:w="832" w:type="dxa"/>
            <w:shd w:val="clear" w:color="auto" w:fill="auto"/>
            <w:vAlign w:val="center"/>
          </w:tcPr>
          <w:p>
            <w:pPr>
              <w:spacing w:line="300" w:lineRule="exact"/>
              <w:jc w:val="right"/>
              <w:rPr>
                <w:rFonts w:ascii="方正书宋_GBK" w:eastAsia="方正书宋_GBK" w:cs="Times New Roman"/>
              </w:rPr>
            </w:pPr>
          </w:p>
        </w:tc>
        <w:tc>
          <w:tcPr>
            <w:tcW w:w="831" w:type="dxa"/>
            <w:shd w:val="clear" w:color="auto" w:fill="auto"/>
            <w:vAlign w:val="center"/>
          </w:tcPr>
          <w:p>
            <w:pPr>
              <w:spacing w:line="300" w:lineRule="exact"/>
              <w:jc w:val="righ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820" w:type="dxa"/>
            <w:shd w:val="clear" w:color="auto" w:fill="auto"/>
            <w:vAlign w:val="center"/>
          </w:tcPr>
          <w:p>
            <w:pPr>
              <w:spacing w:line="300" w:lineRule="exact"/>
              <w:jc w:val="lef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650" w:type="dxa"/>
            <w:shd w:val="clear" w:color="auto" w:fill="auto"/>
            <w:vAlign w:val="center"/>
          </w:tcPr>
          <w:p>
            <w:pPr>
              <w:spacing w:line="300" w:lineRule="exact"/>
              <w:jc w:val="center"/>
              <w:rPr>
                <w:rFonts w:ascii="方正书宋_GBK" w:eastAsia="方正书宋_GBK" w:cs="Times New Roman"/>
              </w:rPr>
            </w:pPr>
          </w:p>
        </w:tc>
        <w:tc>
          <w:tcPr>
            <w:tcW w:w="832" w:type="dxa"/>
            <w:shd w:val="clear" w:color="auto" w:fill="auto"/>
            <w:vAlign w:val="center"/>
          </w:tcPr>
          <w:p>
            <w:pPr>
              <w:spacing w:line="300" w:lineRule="exact"/>
              <w:jc w:val="right"/>
              <w:rPr>
                <w:rFonts w:ascii="方正书宋_GBK" w:eastAsia="方正书宋_GBK" w:cs="Times New Roman"/>
              </w:rPr>
            </w:pPr>
          </w:p>
        </w:tc>
        <w:tc>
          <w:tcPr>
            <w:tcW w:w="831" w:type="dxa"/>
            <w:shd w:val="clear" w:color="auto" w:fill="auto"/>
            <w:vAlign w:val="center"/>
          </w:tcPr>
          <w:p>
            <w:pPr>
              <w:spacing w:line="300" w:lineRule="exact"/>
              <w:jc w:val="righ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820" w:type="dxa"/>
            <w:shd w:val="clear" w:color="auto" w:fill="auto"/>
            <w:vAlign w:val="center"/>
          </w:tcPr>
          <w:p>
            <w:pPr>
              <w:spacing w:line="300" w:lineRule="exact"/>
              <w:jc w:val="lef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650" w:type="dxa"/>
            <w:shd w:val="clear" w:color="auto" w:fill="auto"/>
            <w:vAlign w:val="center"/>
          </w:tcPr>
          <w:p>
            <w:pPr>
              <w:spacing w:line="300" w:lineRule="exact"/>
              <w:jc w:val="center"/>
              <w:rPr>
                <w:rFonts w:ascii="方正书宋_GBK" w:eastAsia="方正书宋_GBK" w:cs="Times New Roman"/>
              </w:rPr>
            </w:pPr>
          </w:p>
        </w:tc>
        <w:tc>
          <w:tcPr>
            <w:tcW w:w="832" w:type="dxa"/>
            <w:shd w:val="clear" w:color="auto" w:fill="auto"/>
            <w:vAlign w:val="center"/>
          </w:tcPr>
          <w:p>
            <w:pPr>
              <w:spacing w:line="300" w:lineRule="exact"/>
              <w:jc w:val="right"/>
              <w:rPr>
                <w:rFonts w:ascii="方正书宋_GBK" w:eastAsia="方正书宋_GBK" w:cs="Times New Roman"/>
              </w:rPr>
            </w:pPr>
          </w:p>
        </w:tc>
        <w:tc>
          <w:tcPr>
            <w:tcW w:w="831" w:type="dxa"/>
            <w:shd w:val="clear" w:color="auto" w:fill="auto"/>
            <w:vAlign w:val="center"/>
          </w:tcPr>
          <w:p>
            <w:pPr>
              <w:spacing w:line="300" w:lineRule="exact"/>
              <w:jc w:val="righ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820" w:type="dxa"/>
            <w:shd w:val="clear" w:color="auto" w:fill="auto"/>
            <w:vAlign w:val="center"/>
          </w:tcPr>
          <w:p>
            <w:pPr>
              <w:spacing w:line="300" w:lineRule="exact"/>
              <w:jc w:val="lef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650" w:type="dxa"/>
            <w:shd w:val="clear" w:color="auto" w:fill="auto"/>
            <w:vAlign w:val="center"/>
          </w:tcPr>
          <w:p>
            <w:pPr>
              <w:spacing w:line="300" w:lineRule="exact"/>
              <w:jc w:val="center"/>
              <w:rPr>
                <w:rFonts w:ascii="方正书宋_GBK" w:eastAsia="方正书宋_GBK" w:cs="Times New Roman"/>
              </w:rPr>
            </w:pPr>
          </w:p>
        </w:tc>
        <w:tc>
          <w:tcPr>
            <w:tcW w:w="832" w:type="dxa"/>
            <w:shd w:val="clear" w:color="auto" w:fill="auto"/>
            <w:vAlign w:val="center"/>
          </w:tcPr>
          <w:p>
            <w:pPr>
              <w:spacing w:line="300" w:lineRule="exact"/>
              <w:jc w:val="right"/>
              <w:rPr>
                <w:rFonts w:ascii="方正书宋_GBK" w:eastAsia="方正书宋_GBK" w:cs="Times New Roman"/>
              </w:rPr>
            </w:pPr>
          </w:p>
        </w:tc>
        <w:tc>
          <w:tcPr>
            <w:tcW w:w="831" w:type="dxa"/>
            <w:shd w:val="clear" w:color="auto" w:fill="auto"/>
            <w:vAlign w:val="center"/>
          </w:tcPr>
          <w:p>
            <w:pPr>
              <w:spacing w:line="300" w:lineRule="exact"/>
              <w:jc w:val="righ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6" w:hRule="atLeast"/>
          <w:jc w:val="center"/>
        </w:trPr>
        <w:tc>
          <w:tcPr>
            <w:tcW w:w="1820" w:type="dxa"/>
            <w:shd w:val="clear" w:color="auto" w:fill="auto"/>
            <w:vAlign w:val="center"/>
          </w:tcPr>
          <w:p>
            <w:pPr>
              <w:spacing w:line="300" w:lineRule="exact"/>
              <w:jc w:val="lef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1405" w:type="dxa"/>
            <w:shd w:val="clear" w:color="auto" w:fill="auto"/>
            <w:vAlign w:val="center"/>
          </w:tcPr>
          <w:p>
            <w:pPr>
              <w:spacing w:line="300" w:lineRule="exact"/>
              <w:jc w:val="left"/>
              <w:rPr>
                <w:rFonts w:ascii="方正书宋_GBK" w:eastAsia="方正书宋_GBK" w:cs="Times New Roman"/>
              </w:rPr>
            </w:pPr>
          </w:p>
        </w:tc>
        <w:tc>
          <w:tcPr>
            <w:tcW w:w="650" w:type="dxa"/>
            <w:shd w:val="clear" w:color="auto" w:fill="auto"/>
            <w:vAlign w:val="center"/>
          </w:tcPr>
          <w:p>
            <w:pPr>
              <w:spacing w:line="300" w:lineRule="exact"/>
              <w:jc w:val="center"/>
              <w:rPr>
                <w:rFonts w:ascii="方正书宋_GBK" w:eastAsia="方正书宋_GBK" w:cs="Times New Roman"/>
              </w:rPr>
            </w:pPr>
          </w:p>
        </w:tc>
        <w:tc>
          <w:tcPr>
            <w:tcW w:w="832" w:type="dxa"/>
            <w:shd w:val="clear" w:color="auto" w:fill="auto"/>
            <w:vAlign w:val="center"/>
          </w:tcPr>
          <w:p>
            <w:pPr>
              <w:spacing w:line="300" w:lineRule="exact"/>
              <w:jc w:val="right"/>
              <w:rPr>
                <w:rFonts w:ascii="方正书宋_GBK" w:eastAsia="方正书宋_GBK" w:cs="Times New Roman"/>
              </w:rPr>
            </w:pPr>
          </w:p>
        </w:tc>
        <w:tc>
          <w:tcPr>
            <w:tcW w:w="831" w:type="dxa"/>
            <w:shd w:val="clear" w:color="auto" w:fill="auto"/>
            <w:vAlign w:val="center"/>
          </w:tcPr>
          <w:p>
            <w:pPr>
              <w:spacing w:line="300" w:lineRule="exact"/>
              <w:jc w:val="right"/>
              <w:rPr>
                <w:rFonts w:ascii="方正书宋_GBK" w:eastAsia="方正书宋_GBK" w:cs="Times New Roman"/>
              </w:rPr>
            </w:pPr>
          </w:p>
        </w:tc>
        <w:tc>
          <w:tcPr>
            <w:tcW w:w="1038"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c>
          <w:tcPr>
            <w:tcW w:w="1039" w:type="dxa"/>
            <w:shd w:val="clear" w:color="auto" w:fill="auto"/>
            <w:vAlign w:val="center"/>
          </w:tcPr>
          <w:p>
            <w:pPr>
              <w:spacing w:line="300" w:lineRule="exact"/>
              <w:jc w:val="right"/>
              <w:rPr>
                <w:rFonts w:ascii="方正书宋_GBK" w:eastAsia="方正书宋_GBK" w:cs="Times New Roman"/>
              </w:rPr>
            </w:pPr>
          </w:p>
        </w:tc>
        <w:tc>
          <w:tcPr>
            <w:tcW w:w="1041"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黑体" w:hAnsi="黑体" w:eastAsia="黑体" w:cs="黑体"/>
          <w:sz w:val="32"/>
          <w:szCs w:val="32"/>
        </w:rPr>
      </w:pPr>
      <w:r>
        <w:rPr>
          <w:rFonts w:hint="eastAsia" w:ascii="Times New Roman" w:hAnsi="Times New Roman" w:eastAsia="仿宋_GB2312" w:cs="Times New Roman"/>
        </w:rPr>
        <w:t>注:空表列示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autoSpaceDE w:val="0"/>
        <w:autoSpaceDN w:val="0"/>
        <w:adjustRightInd w:val="0"/>
        <w:ind w:firstLine="640" w:firstLineChars="200"/>
        <w:jc w:val="left"/>
        <w:rPr>
          <w:rFonts w:ascii="仿宋" w:hAnsi="仿宋" w:eastAsia="仿宋" w:cs="Times New Roman"/>
          <w:sz w:val="32"/>
          <w:szCs w:val="32"/>
        </w:rPr>
      </w:pPr>
      <w:r>
        <w:rPr>
          <w:rFonts w:hint="eastAsia" w:ascii="仿宋" w:hAnsi="仿宋" w:eastAsia="仿宋" w:cs="仿宋"/>
          <w:sz w:val="32"/>
          <w:szCs w:val="32"/>
        </w:rPr>
        <w:t>大厂回族自治县供销合作社上年末固定资产金额为</w:t>
      </w:r>
      <w:r>
        <w:rPr>
          <w:rFonts w:hint="eastAsia" w:ascii="仿宋" w:hAnsi="仿宋" w:eastAsia="仿宋" w:cs="仿宋"/>
          <w:sz w:val="32"/>
          <w:szCs w:val="32"/>
          <w:lang w:val="en-US" w:eastAsia="zh-CN"/>
        </w:rPr>
        <w:t>29.48</w:t>
      </w:r>
      <w:r>
        <w:rPr>
          <w:rFonts w:hint="eastAsia" w:ascii="仿宋" w:hAnsi="仿宋" w:eastAsia="仿宋" w:cs="仿宋"/>
          <w:sz w:val="32"/>
          <w:szCs w:val="32"/>
        </w:rPr>
        <w:t>元，本年度无拟购置固定资产。</w:t>
      </w:r>
    </w:p>
    <w:tbl>
      <w:tblPr>
        <w:tblStyle w:val="6"/>
        <w:tblW w:w="13482" w:type="dxa"/>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Times New Roman"/>
                <w:b/>
                <w:bCs/>
                <w:kern w:val="0"/>
                <w:sz w:val="32"/>
                <w:szCs w:val="32"/>
              </w:rPr>
            </w:pP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方正仿宋_GBK" w:eastAsia="方正仿宋_GBK" w:cs="Times New Roman"/>
                <w:kern w:val="0"/>
                <w:sz w:val="32"/>
                <w:szCs w:val="32"/>
              </w:rPr>
            </w:pPr>
            <w:r>
              <w:rPr>
                <w:rFonts w:hint="eastAsia" w:ascii="方正仿宋_GBK" w:hAnsi="宋体" w:eastAsia="方正仿宋_GBK" w:cs="方正仿宋_GBK"/>
                <w:kern w:val="0"/>
                <w:sz w:val="32"/>
                <w:szCs w:val="32"/>
              </w:rPr>
              <w:t>编制部门：</w:t>
            </w:r>
            <w:r>
              <w:rPr>
                <w:rFonts w:hint="eastAsia" w:ascii="方正仿宋_GBK" w:hAnsi="宋体" w:eastAsia="方正仿宋_GBK" w:cs="方正仿宋_GBK"/>
                <w:kern w:val="0"/>
                <w:sz w:val="32"/>
                <w:szCs w:val="32"/>
                <w:lang w:val="en-US" w:eastAsia="zh-CN"/>
              </w:rPr>
              <w:t>957</w:t>
            </w:r>
            <w:r>
              <w:rPr>
                <w:rFonts w:hint="eastAsia" w:ascii="方正仿宋_GBK" w:hAnsi="宋体" w:eastAsia="方正仿宋_GBK" w:cs="方正仿宋_GBK"/>
                <w:kern w:val="0"/>
                <w:sz w:val="32"/>
                <w:szCs w:val="32"/>
              </w:rPr>
              <w:t>大厂回族自治县供销合作社</w:t>
            </w:r>
          </w:p>
        </w:tc>
        <w:tc>
          <w:tcPr>
            <w:tcW w:w="5103" w:type="dxa"/>
            <w:tcBorders>
              <w:top w:val="nil"/>
              <w:left w:val="nil"/>
              <w:bottom w:val="nil"/>
              <w:right w:val="nil"/>
            </w:tcBorders>
            <w:vAlign w:val="center"/>
          </w:tcPr>
          <w:p>
            <w:pPr>
              <w:widowControl/>
              <w:jc w:val="left"/>
              <w:rPr>
                <w:rFonts w:ascii="方正仿宋_GBK" w:eastAsia="方正仿宋_GBK" w:cs="Times New Roman"/>
                <w:kern w:val="0"/>
                <w:sz w:val="32"/>
                <w:szCs w:val="32"/>
              </w:rPr>
            </w:pPr>
            <w:r>
              <w:rPr>
                <w:rFonts w:hint="eastAsia" w:ascii="方正仿宋_GBK" w:hAnsi="宋体" w:eastAsia="方正仿宋_GBK" w:cs="方正仿宋_GBK"/>
                <w:kern w:val="0"/>
                <w:sz w:val="32"/>
                <w:szCs w:val="32"/>
              </w:rPr>
              <w:t>截止时间：</w:t>
            </w:r>
            <w:r>
              <w:rPr>
                <w:rFonts w:ascii="方正仿宋_GBK" w:hAnsi="宋体" w:eastAsia="方正仿宋_GBK" w:cs="方正仿宋_GBK"/>
                <w:kern w:val="0"/>
                <w:sz w:val="32"/>
                <w:szCs w:val="32"/>
              </w:rPr>
              <w:t>201</w:t>
            </w:r>
            <w:r>
              <w:rPr>
                <w:rFonts w:hint="eastAsia" w:ascii="方正仿宋_GBK" w:hAnsi="宋体" w:eastAsia="方正仿宋_GBK" w:cs="方正仿宋_GBK"/>
                <w:kern w:val="0"/>
                <w:sz w:val="32"/>
                <w:szCs w:val="32"/>
                <w:lang w:val="en-US" w:eastAsia="zh-CN"/>
              </w:rPr>
              <w:t>8</w:t>
            </w:r>
            <w:r>
              <w:rPr>
                <w:rFonts w:hint="eastAsia" w:ascii="方正仿宋_GBK" w:hAnsi="宋体" w:eastAsia="方正仿宋_GBK" w:cs="方正仿宋_GBK"/>
                <w:kern w:val="0"/>
                <w:sz w:val="32"/>
                <w:szCs w:val="32"/>
              </w:rPr>
              <w:t>年</w:t>
            </w:r>
            <w:r>
              <w:rPr>
                <w:rFonts w:ascii="方正仿宋_GBK" w:hAnsi="宋体" w:eastAsia="方正仿宋_GBK" w:cs="方正仿宋_GBK"/>
                <w:kern w:val="0"/>
                <w:sz w:val="32"/>
                <w:szCs w:val="32"/>
              </w:rPr>
              <w:t>12</w:t>
            </w:r>
            <w:r>
              <w:rPr>
                <w:rFonts w:hint="eastAsia" w:ascii="方正仿宋_GBK" w:hAnsi="宋体" w:eastAsia="方正仿宋_GBK" w:cs="方正仿宋_GBK"/>
                <w:kern w:val="0"/>
                <w:sz w:val="32"/>
                <w:szCs w:val="32"/>
              </w:rPr>
              <w:t>月</w:t>
            </w:r>
            <w:r>
              <w:rPr>
                <w:rFonts w:ascii="方正仿宋_GBK" w:hAnsi="宋体" w:eastAsia="方正仿宋_GBK" w:cs="方正仿宋_GBK"/>
                <w:kern w:val="0"/>
                <w:sz w:val="32"/>
                <w:szCs w:val="32"/>
              </w:rPr>
              <w:t>31</w:t>
            </w:r>
            <w:r>
              <w:rPr>
                <w:rFonts w:hint="eastAsia" w:ascii="方正仿宋_GBK" w:hAnsi="宋体" w:eastAsia="方正仿宋_GBK" w:cs="方正仿宋_GBK"/>
                <w:kern w:val="0"/>
                <w:sz w:val="32"/>
                <w:szCs w:val="32"/>
              </w:rPr>
              <w:t>日</w:t>
            </w:r>
            <w:r>
              <w:rPr>
                <w:rFonts w:ascii="方正仿宋_GBK" w:hAnsi="宋体" w:eastAsia="方正仿宋_GBK" w:cs="方正仿宋_GBK"/>
                <w:kern w:val="0"/>
                <w:sz w:val="32"/>
                <w:szCs w:val="3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项</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hint="eastAsia" w:ascii="仿宋" w:hAnsi="仿宋" w:eastAsia="仿宋" w:cs="仿宋"/>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r>
              <w:rPr>
                <w:rFonts w:ascii="仿宋" w:hAnsi="仿宋" w:eastAsia="仿宋" w:cs="仿宋"/>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29.48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ascii="仿宋" w:hAnsi="仿宋" w:eastAsia="仿宋" w:cs="仿宋"/>
                <w:kern w:val="0"/>
                <w:sz w:val="32"/>
                <w:szCs w:val="32"/>
              </w:rPr>
              <w:t>1</w:t>
            </w: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10.60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、单价在</w:t>
            </w:r>
            <w:r>
              <w:rPr>
                <w:rFonts w:ascii="仿宋" w:hAnsi="仿宋" w:eastAsia="仿宋" w:cs="仿宋"/>
                <w:kern w:val="0"/>
                <w:sz w:val="32"/>
                <w:szCs w:val="32"/>
              </w:rPr>
              <w:t>20</w:t>
            </w:r>
            <w:r>
              <w:rPr>
                <w:rFonts w:hint="eastAsia" w:ascii="仿宋" w:hAnsi="仿宋" w:eastAsia="仿宋" w:cs="仿宋"/>
                <w:kern w:val="0"/>
                <w:sz w:val="32"/>
                <w:szCs w:val="3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18.88</w:t>
            </w:r>
          </w:p>
        </w:tc>
      </w:tr>
    </w:tbl>
    <w:p>
      <w:pPr>
        <w:autoSpaceDE w:val="0"/>
        <w:autoSpaceDN w:val="0"/>
        <w:adjustRightInd w:val="0"/>
        <w:ind w:left="198"/>
        <w:jc w:val="left"/>
        <w:rPr>
          <w:rFonts w:ascii="方正黑体_GBK" w:hAnsi="黑体" w:eastAsia="方正黑体_GBK" w:cs="Times New Roman"/>
          <w:color w:val="FF0000"/>
          <w:sz w:val="32"/>
          <w:szCs w:val="32"/>
        </w:rPr>
      </w:pPr>
    </w:p>
    <w:p>
      <w:pPr>
        <w:pStyle w:val="10"/>
        <w:ind w:firstLine="640" w:firstLineChars="200"/>
        <w:rPr>
          <w:rFonts w:ascii="黑体" w:hAnsi="黑体" w:eastAsia="黑体"/>
          <w:color w:val="auto"/>
          <w:kern w:val="2"/>
          <w:sz w:val="32"/>
          <w:szCs w:val="32"/>
        </w:rPr>
      </w:pPr>
      <w:r>
        <w:rPr>
          <w:rFonts w:hint="eastAsia" w:ascii="黑体" w:hAnsi="黑体" w:eastAsia="黑体" w:cs="黑体"/>
          <w:color w:val="auto"/>
          <w:kern w:val="2"/>
          <w:sz w:val="32"/>
          <w:szCs w:val="32"/>
        </w:rPr>
        <w:t>八、名词解释</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1</w:t>
      </w:r>
      <w:r>
        <w:rPr>
          <w:rFonts w:hint="eastAsia" w:ascii="仿宋" w:hAnsi="仿宋" w:eastAsia="仿宋" w:cs="仿宋"/>
          <w:color w:val="auto"/>
          <w:kern w:val="2"/>
          <w:sz w:val="32"/>
          <w:szCs w:val="32"/>
        </w:rPr>
        <w:t>、一般公共预算拨款收入：指县级财政当年拨付的资金。</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2</w:t>
      </w:r>
      <w:r>
        <w:rPr>
          <w:rFonts w:hint="eastAsia" w:ascii="仿宋" w:hAnsi="仿宋" w:eastAsia="仿宋" w:cs="仿宋"/>
          <w:color w:val="auto"/>
          <w:kern w:val="2"/>
          <w:sz w:val="32"/>
          <w:szCs w:val="32"/>
        </w:rPr>
        <w:t>、事业收入：指事业单位开展专业业务活动及辅助活动所取得的收入。</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3</w:t>
      </w:r>
      <w:r>
        <w:rPr>
          <w:rFonts w:hint="eastAsia" w:ascii="仿宋" w:hAnsi="仿宋" w:eastAsia="仿宋" w:cs="仿宋"/>
          <w:color w:val="auto"/>
          <w:kern w:val="2"/>
          <w:sz w:val="32"/>
          <w:szCs w:val="32"/>
        </w:rPr>
        <w:t>、其他收入：指除上述“财政拨款收入”、“事业收入”等以外的收入。主要是按规定动用的租房收入、存款利息收入等。</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4</w:t>
      </w:r>
      <w:r>
        <w:rPr>
          <w:rFonts w:hint="eastAsia" w:ascii="仿宋" w:hAnsi="仿宋" w:eastAsia="仿宋" w:cs="仿宋"/>
          <w:color w:val="auto"/>
          <w:kern w:val="2"/>
          <w:sz w:val="32"/>
          <w:szCs w:val="32"/>
        </w:rPr>
        <w:t>、基本支出：指为保障机构正常运转、完成日常工作任务而发生的人员支出和公用支出。</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、项目支出：指在基本支出之外为完成特定行政任务和事业发展目标所发生的支出。</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6</w:t>
      </w:r>
      <w:r>
        <w:rPr>
          <w:rFonts w:hint="eastAsia" w:ascii="仿宋" w:hAnsi="仿宋" w:eastAsia="仿宋" w:cs="仿宋"/>
          <w:color w:val="auto"/>
          <w:kern w:val="2"/>
          <w:sz w:val="32"/>
          <w:szCs w:val="32"/>
        </w:rPr>
        <w:t>、上缴上级支出：指下级单位上缴上级的支出。</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7</w:t>
      </w:r>
      <w:r>
        <w:rPr>
          <w:rFonts w:hint="eastAsia" w:ascii="仿宋" w:hAnsi="仿宋" w:eastAsia="仿宋" w:cs="仿宋"/>
          <w:color w:val="auto"/>
          <w:kern w:val="2"/>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黑体"/>
          <w:sz w:val="32"/>
          <w:szCs w:val="32"/>
        </w:rPr>
        <w:t>九、其它需要说明的事项</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、我单位不涉及政府性基金支出和国有资本经营支出，因此部门预算政府性基金预算财政拨款支出表和国有资本经营预算财政拨款支出表没有数据。</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、我单位无政府采购支出和非税收入。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SimSun-ExtB"/>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1464E"/>
    <w:rsid w:val="00035B59"/>
    <w:rsid w:val="00037603"/>
    <w:rsid w:val="00037AF6"/>
    <w:rsid w:val="00045A61"/>
    <w:rsid w:val="000551B2"/>
    <w:rsid w:val="00063D46"/>
    <w:rsid w:val="00075D5F"/>
    <w:rsid w:val="0009672E"/>
    <w:rsid w:val="000C3A19"/>
    <w:rsid w:val="000F7801"/>
    <w:rsid w:val="001245BB"/>
    <w:rsid w:val="00126DB3"/>
    <w:rsid w:val="00132E9D"/>
    <w:rsid w:val="00133C1E"/>
    <w:rsid w:val="00153D0B"/>
    <w:rsid w:val="00160C6C"/>
    <w:rsid w:val="0018479D"/>
    <w:rsid w:val="00185FC7"/>
    <w:rsid w:val="001A35BF"/>
    <w:rsid w:val="001B369F"/>
    <w:rsid w:val="001C2430"/>
    <w:rsid w:val="001D1FD4"/>
    <w:rsid w:val="001E62D1"/>
    <w:rsid w:val="001F55D2"/>
    <w:rsid w:val="00206BF3"/>
    <w:rsid w:val="0022374F"/>
    <w:rsid w:val="002362C3"/>
    <w:rsid w:val="00241FD4"/>
    <w:rsid w:val="00247064"/>
    <w:rsid w:val="00251B12"/>
    <w:rsid w:val="00262359"/>
    <w:rsid w:val="002645FB"/>
    <w:rsid w:val="00296113"/>
    <w:rsid w:val="002C29FB"/>
    <w:rsid w:val="002E38C5"/>
    <w:rsid w:val="002F3E58"/>
    <w:rsid w:val="0030542C"/>
    <w:rsid w:val="00311B7A"/>
    <w:rsid w:val="0031584D"/>
    <w:rsid w:val="00330320"/>
    <w:rsid w:val="00373974"/>
    <w:rsid w:val="003A369C"/>
    <w:rsid w:val="003A4FAA"/>
    <w:rsid w:val="003B33A8"/>
    <w:rsid w:val="003C0DED"/>
    <w:rsid w:val="003E1A7F"/>
    <w:rsid w:val="0041762E"/>
    <w:rsid w:val="00424BA8"/>
    <w:rsid w:val="004316A4"/>
    <w:rsid w:val="00451871"/>
    <w:rsid w:val="00467469"/>
    <w:rsid w:val="00472923"/>
    <w:rsid w:val="00492152"/>
    <w:rsid w:val="00492214"/>
    <w:rsid w:val="004B1084"/>
    <w:rsid w:val="004C61E8"/>
    <w:rsid w:val="004E3066"/>
    <w:rsid w:val="004E74CD"/>
    <w:rsid w:val="00526EBA"/>
    <w:rsid w:val="0056274F"/>
    <w:rsid w:val="00573562"/>
    <w:rsid w:val="005947F7"/>
    <w:rsid w:val="00614A29"/>
    <w:rsid w:val="00625B9C"/>
    <w:rsid w:val="0062743C"/>
    <w:rsid w:val="006415EB"/>
    <w:rsid w:val="006A4B91"/>
    <w:rsid w:val="006A6EFB"/>
    <w:rsid w:val="006C1323"/>
    <w:rsid w:val="006C5021"/>
    <w:rsid w:val="006D6F71"/>
    <w:rsid w:val="0070101A"/>
    <w:rsid w:val="0071444A"/>
    <w:rsid w:val="00750698"/>
    <w:rsid w:val="0075393C"/>
    <w:rsid w:val="00755FD9"/>
    <w:rsid w:val="00776C08"/>
    <w:rsid w:val="00796358"/>
    <w:rsid w:val="007B4EE0"/>
    <w:rsid w:val="007E1DA8"/>
    <w:rsid w:val="007F6C26"/>
    <w:rsid w:val="00807E22"/>
    <w:rsid w:val="00822115"/>
    <w:rsid w:val="00827E9F"/>
    <w:rsid w:val="008334AE"/>
    <w:rsid w:val="00836FED"/>
    <w:rsid w:val="00845CD2"/>
    <w:rsid w:val="008502D8"/>
    <w:rsid w:val="00852B0D"/>
    <w:rsid w:val="0087549F"/>
    <w:rsid w:val="00881692"/>
    <w:rsid w:val="00896C0C"/>
    <w:rsid w:val="008A3B17"/>
    <w:rsid w:val="008B042F"/>
    <w:rsid w:val="008B3CC5"/>
    <w:rsid w:val="008C2BAF"/>
    <w:rsid w:val="008E3E7A"/>
    <w:rsid w:val="008E4261"/>
    <w:rsid w:val="008F4662"/>
    <w:rsid w:val="00905D08"/>
    <w:rsid w:val="009123F0"/>
    <w:rsid w:val="00925753"/>
    <w:rsid w:val="00927EBB"/>
    <w:rsid w:val="00966C5C"/>
    <w:rsid w:val="00973104"/>
    <w:rsid w:val="009C2175"/>
    <w:rsid w:val="009C3817"/>
    <w:rsid w:val="009F081F"/>
    <w:rsid w:val="00A17B4B"/>
    <w:rsid w:val="00A27A76"/>
    <w:rsid w:val="00A51E4F"/>
    <w:rsid w:val="00A72D2E"/>
    <w:rsid w:val="00A86850"/>
    <w:rsid w:val="00A911E7"/>
    <w:rsid w:val="00A939D9"/>
    <w:rsid w:val="00A97DB6"/>
    <w:rsid w:val="00AA5E05"/>
    <w:rsid w:val="00AD4097"/>
    <w:rsid w:val="00AF1EBA"/>
    <w:rsid w:val="00B07267"/>
    <w:rsid w:val="00B13148"/>
    <w:rsid w:val="00B141A8"/>
    <w:rsid w:val="00B20712"/>
    <w:rsid w:val="00B22500"/>
    <w:rsid w:val="00B43238"/>
    <w:rsid w:val="00B75216"/>
    <w:rsid w:val="00B916B0"/>
    <w:rsid w:val="00B91D52"/>
    <w:rsid w:val="00BA1ACD"/>
    <w:rsid w:val="00BB3BD4"/>
    <w:rsid w:val="00BE147F"/>
    <w:rsid w:val="00BE4B2C"/>
    <w:rsid w:val="00C46B80"/>
    <w:rsid w:val="00C47493"/>
    <w:rsid w:val="00C62EA6"/>
    <w:rsid w:val="00C667C6"/>
    <w:rsid w:val="00C90F19"/>
    <w:rsid w:val="00CA7176"/>
    <w:rsid w:val="00CD2773"/>
    <w:rsid w:val="00CE143B"/>
    <w:rsid w:val="00CF78ED"/>
    <w:rsid w:val="00D3008E"/>
    <w:rsid w:val="00D93604"/>
    <w:rsid w:val="00DE26A5"/>
    <w:rsid w:val="00DF047A"/>
    <w:rsid w:val="00DF45ED"/>
    <w:rsid w:val="00E00A0E"/>
    <w:rsid w:val="00E06E31"/>
    <w:rsid w:val="00E167C7"/>
    <w:rsid w:val="00E227FA"/>
    <w:rsid w:val="00E47C91"/>
    <w:rsid w:val="00E91838"/>
    <w:rsid w:val="00EC3092"/>
    <w:rsid w:val="00EC47F6"/>
    <w:rsid w:val="00EC6D91"/>
    <w:rsid w:val="00ED37C6"/>
    <w:rsid w:val="00EE0272"/>
    <w:rsid w:val="00EE1B43"/>
    <w:rsid w:val="00F0605C"/>
    <w:rsid w:val="00F153EF"/>
    <w:rsid w:val="00F40C88"/>
    <w:rsid w:val="00F45B34"/>
    <w:rsid w:val="00F66032"/>
    <w:rsid w:val="00F70665"/>
    <w:rsid w:val="00F924D1"/>
    <w:rsid w:val="00F958C2"/>
    <w:rsid w:val="00FA0E29"/>
    <w:rsid w:val="00FF7804"/>
    <w:rsid w:val="05FB3F0C"/>
    <w:rsid w:val="0FB52A8B"/>
    <w:rsid w:val="129D766F"/>
    <w:rsid w:val="19696E9C"/>
    <w:rsid w:val="1A515E7D"/>
    <w:rsid w:val="1F4F23DC"/>
    <w:rsid w:val="24FF1504"/>
    <w:rsid w:val="3240448E"/>
    <w:rsid w:val="38B775AA"/>
    <w:rsid w:val="4489781A"/>
    <w:rsid w:val="4A34485F"/>
    <w:rsid w:val="4DC92D08"/>
    <w:rsid w:val="522D3A0F"/>
    <w:rsid w:val="5D5E2E48"/>
    <w:rsid w:val="5D7A21B7"/>
    <w:rsid w:val="6B36196D"/>
    <w:rsid w:val="6FF64357"/>
    <w:rsid w:val="77B27DA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character" w:customStyle="1" w:styleId="8">
    <w:name w:val="Footer Char"/>
    <w:basedOn w:val="7"/>
    <w:link w:val="2"/>
    <w:qFormat/>
    <w:locked/>
    <w:uiPriority w:val="99"/>
    <w:rPr>
      <w:rFonts w:ascii="Times New Roman" w:hAnsi="Times New Roman" w:eastAsia="宋体" w:cs="Times New Roman"/>
      <w:sz w:val="18"/>
      <w:szCs w:val="18"/>
    </w:rPr>
  </w:style>
  <w:style w:type="character" w:customStyle="1" w:styleId="9">
    <w:name w:val="Header Char"/>
    <w:basedOn w:val="7"/>
    <w:link w:val="3"/>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Sky123.Org</Company>
  <Pages>14</Pages>
  <Words>776</Words>
  <Characters>4425</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2017-06-26T07:39:00Z</dcterms:created>
  <dc:creator>guest</dc:creator>
  <cp:lastModifiedBy>A秋风不懂叶 的美</cp:lastModifiedBy>
  <dcterms:modified xsi:type="dcterms:W3CDTF">2023-11-06T03:15:34Z</dcterms:modified>
  <dc:title>河北省廊坊市大厂回族自治县供销合作社</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7BF884A393C64408B06872C12CAD749C</vt:lpwstr>
  </property>
</Properties>
</file>